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滨医附院</w:t>
      </w:r>
      <w:r>
        <w:rPr>
          <w:rFonts w:hint="eastAsia" w:ascii="宋体" w:hAnsi="宋体"/>
          <w:b/>
          <w:sz w:val="32"/>
          <w:szCs w:val="32"/>
          <w:lang w:eastAsia="zh-CN"/>
        </w:rPr>
        <w:t>门诊二部室内原有装饰设施拆除</w:t>
      </w:r>
      <w:r>
        <w:rPr>
          <w:rFonts w:hint="eastAsia" w:ascii="宋体" w:hAnsi="宋体"/>
          <w:b/>
          <w:sz w:val="32"/>
          <w:szCs w:val="32"/>
        </w:rPr>
        <w:t>工程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招标</w:t>
      </w:r>
      <w:r>
        <w:rPr>
          <w:rFonts w:hint="eastAsia" w:ascii="宋体" w:hAnsi="宋体"/>
          <w:b/>
          <w:sz w:val="32"/>
          <w:szCs w:val="32"/>
          <w:lang w:eastAsia="zh-CN"/>
        </w:rPr>
        <w:t>需求</w:t>
      </w:r>
    </w:p>
    <w:p>
      <w:pPr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一、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工程</w:t>
      </w:r>
      <w:r>
        <w:rPr>
          <w:rFonts w:hint="eastAsia" w:ascii="宋体" w:hAnsi="宋体"/>
          <w:b w:val="0"/>
          <w:bCs/>
          <w:sz w:val="24"/>
          <w:szCs w:val="24"/>
        </w:rPr>
        <w:t>概况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工程名称：</w:t>
      </w:r>
      <w:r>
        <w:rPr>
          <w:rFonts w:hint="eastAsia" w:ascii="宋体" w:hAnsi="宋体"/>
          <w:b w:val="0"/>
          <w:bCs/>
          <w:sz w:val="24"/>
          <w:szCs w:val="24"/>
        </w:rPr>
        <w:t>滨医附院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门诊二部室内原有装饰设施拆除</w:t>
      </w:r>
      <w:r>
        <w:rPr>
          <w:rFonts w:hint="eastAsia" w:ascii="宋体" w:hAnsi="宋体"/>
          <w:b w:val="0"/>
          <w:bCs/>
          <w:sz w:val="24"/>
          <w:szCs w:val="24"/>
        </w:rPr>
        <w:t>工程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工程地点：滨州市黄河二路661号。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工期要求：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20日历天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工程</w:t>
      </w:r>
      <w:r>
        <w:rPr>
          <w:rFonts w:hint="eastAsia" w:ascii="宋体" w:hAnsi="宋体" w:cs="宋体"/>
          <w:sz w:val="24"/>
          <w:szCs w:val="24"/>
          <w:lang w:eastAsia="zh-CN"/>
        </w:rPr>
        <w:t>拆除内容详见后附表拆除工程量清单明细：</w:t>
      </w:r>
    </w:p>
    <w:p>
      <w:pPr>
        <w:spacing w:line="360" w:lineRule="auto"/>
        <w:ind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二、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投标人</w:t>
      </w:r>
      <w:r>
        <w:rPr>
          <w:rFonts w:hint="eastAsia" w:ascii="宋体" w:hAnsi="宋体"/>
          <w:b w:val="0"/>
          <w:bCs w:val="0"/>
          <w:sz w:val="24"/>
          <w:szCs w:val="24"/>
        </w:rPr>
        <w:t>资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格</w:t>
      </w:r>
      <w:r>
        <w:rPr>
          <w:rFonts w:hint="eastAsia" w:ascii="宋体" w:hAnsi="宋体"/>
          <w:b w:val="0"/>
          <w:bCs w:val="0"/>
          <w:sz w:val="24"/>
          <w:szCs w:val="24"/>
        </w:rPr>
        <w:t>要求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具有独立承担民事责任的能力；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具有良好的商业信誉；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具有履行</w:t>
      </w:r>
      <w:r>
        <w:rPr>
          <w:rFonts w:hint="eastAsia" w:ascii="宋体" w:hAnsi="宋体"/>
          <w:b w:val="0"/>
          <w:bCs w:val="0"/>
          <w:sz w:val="24"/>
          <w:lang w:eastAsia="zh-CN"/>
        </w:rPr>
        <w:t>招标内容</w:t>
      </w:r>
      <w:r>
        <w:rPr>
          <w:rFonts w:hint="eastAsia" w:ascii="宋体" w:hAnsi="宋体"/>
          <w:b w:val="0"/>
          <w:bCs w:val="0"/>
          <w:sz w:val="24"/>
        </w:rPr>
        <w:t>所必需的设备和能力；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在经营活动中没有重大违法记录；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三、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施工要求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1.中标人进入施工现场须服从招标人统一管理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，遵守国家和地方有关安全生产的法律、法规，遵守行业标准和企业规章制度；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2.加强员工岗前培训，做好防火防疫工作，提高员工自我保护意识；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3.对施工区域内不做拆除的原有设施做好成品保护，并做好竣工清洁外运处理。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4.施工现场疫情防控到位，做好防火防盗等安全措施。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5.保障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施工现场的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所有人员进场前24小时内的核算检测报告全为阴性；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hAnsi="宋体" w:cs="宋体"/>
          <w:b w:val="0"/>
          <w:bCs w:val="0"/>
          <w:sz w:val="24"/>
        </w:rPr>
      </w:pPr>
      <w:r>
        <w:rPr>
          <w:rFonts w:hint="eastAsia" w:hAnsi="宋体" w:cs="宋体"/>
          <w:b w:val="0"/>
          <w:bCs w:val="0"/>
          <w:sz w:val="24"/>
          <w:lang w:eastAsia="zh-CN"/>
        </w:rPr>
        <w:t>四、</w:t>
      </w:r>
      <w:r>
        <w:rPr>
          <w:rFonts w:hint="eastAsia" w:hAnsi="宋体" w:cs="宋体"/>
          <w:b w:val="0"/>
          <w:bCs w:val="0"/>
          <w:sz w:val="24"/>
        </w:rPr>
        <w:t>工程款支付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hAnsi="宋体" w:eastAsia="宋体"/>
          <w:color w:val="auto"/>
          <w:sz w:val="24"/>
          <w:lang w:eastAsia="zh-CN"/>
        </w:rPr>
      </w:pPr>
      <w:r>
        <w:rPr>
          <w:rFonts w:hint="eastAsia" w:hAnsi="宋体" w:cs="宋体"/>
          <w:color w:val="auto"/>
          <w:sz w:val="24"/>
          <w:lang w:eastAsia="zh-CN"/>
        </w:rPr>
        <w:t>拆除内容全部完成，</w:t>
      </w:r>
      <w:r>
        <w:rPr>
          <w:rFonts w:hint="eastAsia" w:hAnsi="宋体" w:cs="宋体"/>
          <w:color w:val="000000"/>
          <w:sz w:val="24"/>
          <w:lang w:eastAsia="zh-CN"/>
        </w:rPr>
        <w:t>招标人</w:t>
      </w:r>
      <w:r>
        <w:rPr>
          <w:rFonts w:hint="eastAsia" w:hAnsi="宋体" w:cs="宋体"/>
          <w:color w:val="000000"/>
          <w:sz w:val="24"/>
          <w:lang w:val="en-US" w:eastAsia="zh-CN"/>
        </w:rPr>
        <w:t>组织验收通过后，</w:t>
      </w:r>
      <w:r>
        <w:rPr>
          <w:rFonts w:hint="eastAsia" w:hAnsi="宋体" w:cs="宋体"/>
          <w:color w:val="000000"/>
          <w:sz w:val="24"/>
        </w:rPr>
        <w:t>施工单位提供</w:t>
      </w:r>
      <w:r>
        <w:rPr>
          <w:rFonts w:hint="eastAsia" w:hAnsi="宋体" w:cs="宋体"/>
          <w:color w:val="auto"/>
          <w:sz w:val="24"/>
          <w:lang w:eastAsia="zh-CN"/>
        </w:rPr>
        <w:t>全额正规工程发票，</w:t>
      </w:r>
      <w:r>
        <w:rPr>
          <w:rFonts w:hint="eastAsia" w:ascii="宋体" w:hAnsi="宋体"/>
          <w:b w:val="0"/>
          <w:bCs/>
          <w:color w:val="auto"/>
          <w:kern w:val="0"/>
          <w:sz w:val="24"/>
        </w:rPr>
        <w:t>一次性付清</w:t>
      </w:r>
      <w:r>
        <w:rPr>
          <w:rFonts w:hint="eastAsia" w:ascii="宋体" w:hAnsi="宋体"/>
          <w:b w:val="0"/>
          <w:bCs/>
          <w:color w:val="auto"/>
          <w:kern w:val="0"/>
          <w:sz w:val="24"/>
          <w:lang w:eastAsia="zh-CN"/>
        </w:rPr>
        <w:t>工程款。</w:t>
      </w:r>
    </w:p>
    <w:p>
      <w:pPr>
        <w:spacing w:line="360" w:lineRule="auto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/>
          <w:sz w:val="21"/>
          <w:szCs w:val="21"/>
        </w:rPr>
        <w:br w:type="page"/>
      </w:r>
      <w:r>
        <w:rPr>
          <w:rFonts w:hint="eastAsia" w:ascii="宋体" w:hAnsi="宋体"/>
          <w:b/>
          <w:color w:val="000000"/>
          <w:kern w:val="0"/>
          <w:sz w:val="24"/>
        </w:rPr>
        <w:t>报价部分</w:t>
      </w:r>
    </w:p>
    <w:p>
      <w:pPr>
        <w:tabs>
          <w:tab w:val="left" w:pos="5580"/>
        </w:tabs>
        <w:spacing w:line="360" w:lineRule="auto"/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一、</w:t>
      </w:r>
      <w:r>
        <w:rPr>
          <w:rFonts w:hint="eastAsia" w:ascii="宋体" w:hAnsi="宋体"/>
          <w:b/>
          <w:color w:val="000000"/>
          <w:sz w:val="24"/>
        </w:rPr>
        <w:t>报价一览表</w:t>
      </w:r>
    </w:p>
    <w:p>
      <w:pPr>
        <w:pStyle w:val="5"/>
        <w:spacing w:line="360" w:lineRule="auto"/>
        <w:ind w:left="0" w:leftChars="0" w:firstLine="0" w:firstLineChars="0"/>
      </w:pPr>
      <w:r>
        <w:rPr>
          <w:rFonts w:hint="eastAsia"/>
        </w:rPr>
        <w:t>项目编号：</w:t>
      </w:r>
      <w:r>
        <w:rPr>
          <w:rFonts w:hint="eastAsia"/>
          <w:u w:val="single"/>
        </w:rPr>
        <w:t xml:space="preserve">                     </w:t>
      </w:r>
    </w:p>
    <w:tbl>
      <w:tblPr>
        <w:tblStyle w:val="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337"/>
              </w:tabs>
              <w:spacing w:line="360" w:lineRule="auto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ascii="黑体"/>
                <w:bCs/>
                <w:color w:val="000000"/>
                <w:sz w:val="24"/>
              </w:rPr>
              <w:t>项目名称</w:t>
            </w:r>
          </w:p>
        </w:tc>
        <w:tc>
          <w:tcPr>
            <w:tcW w:w="67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337"/>
              </w:tabs>
              <w:spacing w:line="360" w:lineRule="auto"/>
              <w:jc w:val="center"/>
              <w:rPr>
                <w:rFonts w:hint="eastAsia" w:ascii="黑体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2410" w:type="dxa"/>
            <w:noWrap w:val="0"/>
            <w:vAlign w:val="center"/>
          </w:tcPr>
          <w:p>
            <w:pPr>
              <w:tabs>
                <w:tab w:val="left" w:pos="1337"/>
              </w:tabs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投 标 报 价</w:t>
            </w:r>
          </w:p>
        </w:tc>
        <w:tc>
          <w:tcPr>
            <w:tcW w:w="6770" w:type="dxa"/>
            <w:noWrap w:val="0"/>
            <w:vAlign w:val="top"/>
          </w:tcPr>
          <w:p>
            <w:pPr>
              <w:tabs>
                <w:tab w:val="left" w:pos="1337"/>
              </w:tabs>
              <w:spacing w:line="360" w:lineRule="auto"/>
              <w:rPr>
                <w:rFonts w:hint="eastAsia" w:ascii="黑体"/>
                <w:bCs/>
                <w:color w:val="000000"/>
                <w:sz w:val="24"/>
              </w:rPr>
            </w:pPr>
          </w:p>
          <w:p>
            <w:pPr>
              <w:tabs>
                <w:tab w:val="left" w:pos="1337"/>
              </w:tabs>
              <w:spacing w:line="360" w:lineRule="auto"/>
              <w:rPr>
                <w:rFonts w:hint="eastAsia" w:ascii="黑体"/>
                <w:bCs/>
                <w:color w:val="000000"/>
                <w:sz w:val="24"/>
              </w:rPr>
            </w:pPr>
            <w:r>
              <w:rPr>
                <w:rFonts w:hint="eastAsia" w:ascii="黑体"/>
                <w:bCs/>
                <w:color w:val="000000"/>
                <w:sz w:val="24"/>
              </w:rPr>
              <w:t>小写：</w:t>
            </w:r>
            <w:r>
              <w:rPr>
                <w:rFonts w:hint="eastAsia" w:ascii="黑体"/>
                <w:bCs/>
                <w:color w:val="000000"/>
                <w:sz w:val="24"/>
                <w:u w:val="single"/>
              </w:rPr>
              <w:t xml:space="preserve">                               </w:t>
            </w:r>
          </w:p>
          <w:p>
            <w:pPr>
              <w:tabs>
                <w:tab w:val="left" w:pos="1337"/>
              </w:tabs>
              <w:spacing w:line="360" w:lineRule="auto"/>
              <w:rPr>
                <w:rFonts w:hint="eastAsia" w:ascii="黑体"/>
                <w:bCs/>
                <w:color w:val="000000"/>
                <w:sz w:val="24"/>
              </w:rPr>
            </w:pPr>
          </w:p>
          <w:p>
            <w:pPr>
              <w:tabs>
                <w:tab w:val="left" w:pos="1337"/>
              </w:tabs>
              <w:spacing w:line="360" w:lineRule="auto"/>
              <w:rPr>
                <w:rFonts w:hint="eastAsia" w:ascii="黑体"/>
                <w:bCs/>
                <w:color w:val="000000"/>
                <w:sz w:val="24"/>
              </w:rPr>
            </w:pPr>
            <w:r>
              <w:rPr>
                <w:rFonts w:hint="eastAsia" w:ascii="黑体"/>
                <w:bCs/>
                <w:color w:val="000000"/>
                <w:sz w:val="24"/>
              </w:rPr>
              <w:t>大写：</w:t>
            </w:r>
            <w:r>
              <w:rPr>
                <w:rFonts w:hint="eastAsia" w:ascii="黑体"/>
                <w:bCs/>
                <w:color w:val="000000"/>
                <w:sz w:val="24"/>
                <w:u w:val="single"/>
              </w:rPr>
              <w:t xml:space="preserve">                               </w:t>
            </w:r>
          </w:p>
          <w:p>
            <w:pPr>
              <w:tabs>
                <w:tab w:val="left" w:pos="1337"/>
              </w:tabs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0" w:type="dxa"/>
            <w:noWrap w:val="0"/>
            <w:vAlign w:val="top"/>
          </w:tcPr>
          <w:p>
            <w:pPr>
              <w:tabs>
                <w:tab w:val="left" w:pos="1337"/>
              </w:tabs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/>
                <w:bCs/>
                <w:color w:val="000000"/>
                <w:sz w:val="24"/>
              </w:rPr>
              <w:t>工期</w:t>
            </w:r>
          </w:p>
        </w:tc>
        <w:tc>
          <w:tcPr>
            <w:tcW w:w="6770" w:type="dxa"/>
            <w:noWrap w:val="0"/>
            <w:vAlign w:val="top"/>
          </w:tcPr>
          <w:p>
            <w:pPr>
              <w:tabs>
                <w:tab w:val="left" w:pos="1337"/>
              </w:tabs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0" w:type="dxa"/>
            <w:noWrap w:val="0"/>
            <w:vAlign w:val="top"/>
          </w:tcPr>
          <w:p>
            <w:pPr>
              <w:tabs>
                <w:tab w:val="left" w:pos="1337"/>
              </w:tabs>
              <w:spacing w:line="360" w:lineRule="auto"/>
              <w:jc w:val="center"/>
              <w:rPr>
                <w:rFonts w:hint="eastAsia" w:ascii="黑体"/>
                <w:bCs/>
                <w:color w:val="000000"/>
                <w:sz w:val="24"/>
              </w:rPr>
            </w:pPr>
            <w:r>
              <w:rPr>
                <w:rFonts w:hint="eastAsia" w:ascii="黑体"/>
                <w:bCs/>
                <w:color w:val="000000"/>
                <w:sz w:val="24"/>
              </w:rPr>
              <w:t>质量目标</w:t>
            </w:r>
          </w:p>
        </w:tc>
        <w:tc>
          <w:tcPr>
            <w:tcW w:w="6770" w:type="dxa"/>
            <w:noWrap w:val="0"/>
            <w:vAlign w:val="top"/>
          </w:tcPr>
          <w:p>
            <w:pPr>
              <w:tabs>
                <w:tab w:val="left" w:pos="1337"/>
              </w:tabs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0" w:type="dxa"/>
            <w:noWrap w:val="0"/>
            <w:vAlign w:val="top"/>
          </w:tcPr>
          <w:p>
            <w:pPr>
              <w:tabs>
                <w:tab w:val="left" w:pos="1337"/>
              </w:tabs>
              <w:spacing w:line="360" w:lineRule="auto"/>
              <w:jc w:val="center"/>
              <w:rPr>
                <w:rFonts w:hint="eastAsia" w:ascii="黑体"/>
                <w:bCs/>
                <w:color w:val="000000"/>
                <w:sz w:val="24"/>
              </w:rPr>
            </w:pPr>
            <w:r>
              <w:rPr>
                <w:rFonts w:hint="eastAsia" w:ascii="黑体"/>
                <w:bCs/>
                <w:color w:val="000000"/>
                <w:sz w:val="24"/>
              </w:rPr>
              <w:t>项目负责人</w:t>
            </w:r>
          </w:p>
        </w:tc>
        <w:tc>
          <w:tcPr>
            <w:tcW w:w="6770" w:type="dxa"/>
            <w:noWrap w:val="0"/>
            <w:vAlign w:val="top"/>
          </w:tcPr>
          <w:p>
            <w:pPr>
              <w:tabs>
                <w:tab w:val="left" w:pos="1337"/>
              </w:tabs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180" w:type="dxa"/>
            <w:gridSpan w:val="2"/>
            <w:noWrap w:val="0"/>
            <w:vAlign w:val="top"/>
          </w:tcPr>
          <w:p>
            <w:pPr>
              <w:tabs>
                <w:tab w:val="left" w:pos="1337"/>
              </w:tabs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/>
                <w:bCs/>
                <w:color w:val="000000"/>
                <w:sz w:val="24"/>
              </w:rPr>
              <w:t>备注：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说明：1、供应商严格按照规定的格式填写。投标报价为优惠后报价，并作为评审及定标的依据。</w:t>
      </w:r>
    </w:p>
    <w:p>
      <w:pPr>
        <w:pStyle w:val="2"/>
        <w:ind w:firstLine="720" w:firstLineChars="300"/>
        <w:rPr>
          <w:rFonts w:hint="eastAsia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 w:ascii="宋体" w:hAnsi="宋体"/>
          <w:sz w:val="24"/>
          <w:lang w:val="en-US" w:eastAsia="zh-CN"/>
        </w:rPr>
        <w:t>本项目为应急采购项目</w:t>
      </w:r>
      <w:r>
        <w:rPr>
          <w:rFonts w:hint="eastAsia"/>
          <w:sz w:val="24"/>
          <w:lang w:val="en-US" w:eastAsia="zh-CN"/>
        </w:rPr>
        <w:t>，鉴于项目特殊性，各公司自报最短工期，</w:t>
      </w:r>
      <w:r>
        <w:rPr>
          <w:rFonts w:hint="eastAsia" w:ascii="宋体" w:hAnsi="宋体"/>
          <w:sz w:val="24"/>
        </w:rPr>
        <w:t>作为评审及定标的依据</w:t>
      </w:r>
      <w:r>
        <w:rPr>
          <w:rFonts w:hint="eastAsia" w:ascii="宋体" w:hAnsi="宋体"/>
          <w:sz w:val="24"/>
          <w:lang w:val="en-US" w:eastAsia="zh-CN"/>
        </w:rPr>
        <w:t>。</w:t>
      </w:r>
    </w:p>
    <w:p>
      <w:pPr>
        <w:spacing w:line="360" w:lineRule="auto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 xml:space="preserve">      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、任何有选择或有条件的投标报价或表中某一包填写多个报价，均将导致报价被拒绝。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、“价格单位”应严格按照报价一览表中的内容填报，“投标报价”处只填写具体的投标报价的数值（即不含单位）。未按照该要求投报的，报价无效。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</w:p>
    <w:p>
      <w:pPr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 w:ascii="宋体" w:hAnsi="宋体"/>
          <w:sz w:val="24"/>
          <w:lang w:eastAsia="zh-CN"/>
        </w:rPr>
        <w:t>供应商公章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日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日</w:t>
      </w:r>
    </w:p>
    <w:p/>
    <w:p>
      <w:pPr>
        <w:spacing w:line="360" w:lineRule="auto"/>
        <w:jc w:val="both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hint="eastAsia"/>
          <w:sz w:val="21"/>
          <w:szCs w:val="21"/>
        </w:rPr>
        <w:br w:type="page"/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二、</w:t>
      </w:r>
    </w:p>
    <w:tbl>
      <w:tblPr>
        <w:tblStyle w:val="10"/>
        <w:tblpPr w:leftFromText="180" w:rightFromText="180" w:vertAnchor="text" w:horzAnchor="page" w:tblpX="811" w:tblpY="476"/>
        <w:tblOverlap w:val="never"/>
        <w:tblW w:w="107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85"/>
        <w:gridCol w:w="1887"/>
        <w:gridCol w:w="1103"/>
        <w:gridCol w:w="855"/>
        <w:gridCol w:w="1622"/>
        <w:gridCol w:w="1622"/>
        <w:gridCol w:w="1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lang w:val="en-US" w:eastAsia="zh-CN" w:bidi="ar"/>
              </w:rPr>
            </w:pPr>
            <w:r>
              <w:rPr>
                <w:rStyle w:val="19"/>
                <w:lang w:val="en-US" w:eastAsia="zh-CN" w:bidi="ar"/>
              </w:rPr>
              <w:t xml:space="preserve">     门诊二部拆除工程量</w:t>
            </w:r>
            <w:r>
              <w:rPr>
                <w:rStyle w:val="19"/>
                <w:rFonts w:hint="eastAsia"/>
                <w:lang w:val="en-US" w:eastAsia="zh-CN" w:bidi="ar"/>
              </w:rPr>
              <w:t>报价</w:t>
            </w:r>
            <w:r>
              <w:rPr>
                <w:rStyle w:val="19"/>
                <w:lang w:val="en-US" w:eastAsia="zh-CN" w:bidi="ar"/>
              </w:rPr>
              <w:t xml:space="preserve">清单    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19"/>
                <w:lang w:val="en-US" w:eastAsia="zh-CN" w:bidi="ar"/>
              </w:rPr>
              <w:t xml:space="preserve">  </w:t>
            </w:r>
            <w:r>
              <w:rPr>
                <w:rStyle w:val="20"/>
                <w:lang w:val="en-US" w:eastAsia="zh-CN" w:bidi="ar"/>
              </w:rPr>
              <w:t>人民币：元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清单描述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控制价单价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控制价合价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损坏大理石地面拆除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包含石材面层、垫层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PVC塑胶地面拆除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拆除PVC塑胶卷材及自流平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瓷砖拆除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卫生间地面、墙面、楼梯间墙裙等瓷砖拆除、包含基层拆除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轻质隔断墙拆除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玻璃隔断、铝合金隔断、轻质墙等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墙面石材拆除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拆除粘接石材墙裙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立面装饰板拆除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门诊大厅周圈铝塑板饰面及细木工基层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吊顶拆除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石膏板、铝塑板吊顶拆除，含龙骨、空调内机、灯具及其它附着物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门拆除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1、南入口外门斗及入户门拆除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2、普通肯德基门拆除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3、室内木门拆除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4、室内金属门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卫生洁具拆除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1、拆除洗手盆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2、拆除洗手台3m/套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3、拆除拖布池（现浇）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包含垂直运输、垃圾外运等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楼梯间不锈钢护栏拆除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步梯间不锈钢扶手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大厅护栏拆除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大厅周圈护栏及大厅楼梯护栏扶手及玻璃拆除，不锈钢立柱未损坏的保护性保留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消防管线系统、给排水管线拆除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拆除门诊二部消防系统及给排水系统.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废旧管材与拆除费用互相抵价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空调系统、负压吸引系统拆除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拆除门诊二部空调系统（含外机），负压吸引系统（含外机）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空调外机、负压吸引外机、冷媒管等与拆除费用互相抵价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cs="仿宋"/>
                <w:b/>
                <w:color w:val="FF0000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仿宋"/>
                <w:b/>
                <w:color w:val="FF0000"/>
                <w:sz w:val="24"/>
                <w:lang w:val="en-US" w:eastAsia="zh-CN"/>
              </w:rPr>
              <w:t>报价清单中的综合单价为全费用固定综合单价。价格</w:t>
            </w:r>
            <w:r>
              <w:rPr>
                <w:rFonts w:hint="eastAsia" w:ascii="宋体" w:hAnsi="宋体" w:cs="仿宋"/>
                <w:b/>
                <w:color w:val="FF0000"/>
                <w:sz w:val="24"/>
                <w:lang w:val="zh-CN"/>
              </w:rPr>
              <w:t>包括但不限于</w:t>
            </w:r>
            <w:r>
              <w:rPr>
                <w:rFonts w:hint="eastAsia" w:ascii="宋体" w:hAnsi="宋体" w:cs="仿宋"/>
                <w:b/>
                <w:color w:val="FF0000"/>
                <w:sz w:val="24"/>
                <w:lang w:val="en-US" w:eastAsia="zh-CN"/>
              </w:rPr>
              <w:t>人工、机械、材料、措施费、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仿宋"/>
                <w:b/>
                <w:color w:val="FF0000"/>
                <w:sz w:val="24"/>
                <w:lang w:val="en-US" w:eastAsia="zh-CN"/>
              </w:rPr>
              <w:t>管理费、疫情防控、利润、税金等一切费用，工程量据实结算</w:t>
            </w:r>
            <w:bookmarkEnd w:id="0"/>
          </w:p>
        </w:tc>
      </w:tr>
    </w:tbl>
    <w:p>
      <w:pPr>
        <w:spacing w:line="360" w:lineRule="auto"/>
        <w:ind w:firstLine="1205" w:firstLineChars="500"/>
        <w:jc w:val="both"/>
        <w:rPr>
          <w:rFonts w:hint="eastAsia"/>
          <w:sz w:val="21"/>
          <w:szCs w:val="21"/>
        </w:rPr>
      </w:pPr>
      <w:r>
        <w:rPr>
          <w:rFonts w:hint="eastAsia" w:ascii="宋体" w:hAnsi="宋体" w:cs="仿宋"/>
          <w:b/>
          <w:sz w:val="24"/>
          <w:lang w:val="zh-CN"/>
        </w:rPr>
        <w:t>注：</w:t>
      </w:r>
      <w:r>
        <w:rPr>
          <w:rFonts w:hint="eastAsia" w:ascii="宋体" w:hAnsi="宋体"/>
          <w:b/>
          <w:color w:val="FF0000"/>
          <w:sz w:val="24"/>
        </w:rPr>
        <w:t>供应商报价</w:t>
      </w:r>
      <w:r>
        <w:rPr>
          <w:rFonts w:hint="eastAsia" w:ascii="宋体" w:hAnsi="宋体" w:cs="仿宋"/>
          <w:b/>
          <w:color w:val="FF0000"/>
          <w:sz w:val="24"/>
          <w:lang w:val="zh-CN"/>
        </w:rPr>
        <w:t>超过控制价或</w:t>
      </w:r>
      <w:r>
        <w:rPr>
          <w:rFonts w:hint="eastAsia" w:ascii="宋体" w:hAnsi="宋体"/>
          <w:b/>
          <w:color w:val="FF0000"/>
          <w:sz w:val="24"/>
        </w:rPr>
        <w:t>报价</w:t>
      </w:r>
      <w:r>
        <w:rPr>
          <w:rFonts w:hint="eastAsia" w:ascii="宋体" w:hAnsi="宋体" w:cs="仿宋"/>
          <w:b/>
          <w:color w:val="FF0000"/>
          <w:sz w:val="24"/>
          <w:lang w:val="zh-CN"/>
        </w:rPr>
        <w:t>超过清单内综合单价的均按无效报价处理。</w:t>
      </w:r>
    </w:p>
    <w:sectPr>
      <w:pgSz w:w="11906" w:h="16838"/>
      <w:pgMar w:top="720" w:right="380" w:bottom="720" w:left="3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32217"/>
    <w:multiLevelType w:val="multilevel"/>
    <w:tmpl w:val="0A132217"/>
    <w:lvl w:ilvl="0" w:tentative="0">
      <w:start w:val="1"/>
      <w:numFmt w:val="decimal"/>
      <w:suff w:val="nothing"/>
      <w:lvlText w:val="%1."/>
      <w:lvlJc w:val="left"/>
      <w:pPr>
        <w:ind w:left="9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224"/>
    <w:rsid w:val="00015B1E"/>
    <w:rsid w:val="00022D32"/>
    <w:rsid w:val="00031C90"/>
    <w:rsid w:val="00047C90"/>
    <w:rsid w:val="00072C29"/>
    <w:rsid w:val="000847CA"/>
    <w:rsid w:val="001201C5"/>
    <w:rsid w:val="0016595A"/>
    <w:rsid w:val="001A2D24"/>
    <w:rsid w:val="001A3DD9"/>
    <w:rsid w:val="001D1155"/>
    <w:rsid w:val="001F0690"/>
    <w:rsid w:val="001F21A4"/>
    <w:rsid w:val="00207445"/>
    <w:rsid w:val="0024682C"/>
    <w:rsid w:val="00260C5A"/>
    <w:rsid w:val="00285065"/>
    <w:rsid w:val="00292B80"/>
    <w:rsid w:val="002B36F5"/>
    <w:rsid w:val="002B4256"/>
    <w:rsid w:val="002F5DA7"/>
    <w:rsid w:val="00314AB2"/>
    <w:rsid w:val="003263AD"/>
    <w:rsid w:val="00343B09"/>
    <w:rsid w:val="003A27D6"/>
    <w:rsid w:val="003A4CC8"/>
    <w:rsid w:val="003C66D0"/>
    <w:rsid w:val="003E06A8"/>
    <w:rsid w:val="00405981"/>
    <w:rsid w:val="004115E0"/>
    <w:rsid w:val="0041339E"/>
    <w:rsid w:val="004165AB"/>
    <w:rsid w:val="004277AF"/>
    <w:rsid w:val="0048398C"/>
    <w:rsid w:val="004F3476"/>
    <w:rsid w:val="0051046D"/>
    <w:rsid w:val="00511626"/>
    <w:rsid w:val="00523A51"/>
    <w:rsid w:val="00535AE1"/>
    <w:rsid w:val="005900B6"/>
    <w:rsid w:val="005B4D28"/>
    <w:rsid w:val="005C17CE"/>
    <w:rsid w:val="005E16AA"/>
    <w:rsid w:val="005F2D44"/>
    <w:rsid w:val="005F3185"/>
    <w:rsid w:val="00622C18"/>
    <w:rsid w:val="00625366"/>
    <w:rsid w:val="0064643B"/>
    <w:rsid w:val="00660EC1"/>
    <w:rsid w:val="00661A80"/>
    <w:rsid w:val="006922C5"/>
    <w:rsid w:val="00695BFA"/>
    <w:rsid w:val="006A40E7"/>
    <w:rsid w:val="006C743A"/>
    <w:rsid w:val="006E38DB"/>
    <w:rsid w:val="006E3AB7"/>
    <w:rsid w:val="0070572F"/>
    <w:rsid w:val="00705C36"/>
    <w:rsid w:val="00705F9B"/>
    <w:rsid w:val="00711C96"/>
    <w:rsid w:val="00741920"/>
    <w:rsid w:val="00772C9D"/>
    <w:rsid w:val="007B3EB7"/>
    <w:rsid w:val="007B5CB7"/>
    <w:rsid w:val="007E6224"/>
    <w:rsid w:val="0080319C"/>
    <w:rsid w:val="00820BCC"/>
    <w:rsid w:val="008267D3"/>
    <w:rsid w:val="00826BEF"/>
    <w:rsid w:val="00827DD9"/>
    <w:rsid w:val="0084167D"/>
    <w:rsid w:val="00870C63"/>
    <w:rsid w:val="008A4CF2"/>
    <w:rsid w:val="008A7C61"/>
    <w:rsid w:val="008C60B9"/>
    <w:rsid w:val="008E16DA"/>
    <w:rsid w:val="008E31F4"/>
    <w:rsid w:val="008E5AD6"/>
    <w:rsid w:val="0094289F"/>
    <w:rsid w:val="009437AF"/>
    <w:rsid w:val="009561E1"/>
    <w:rsid w:val="009665D9"/>
    <w:rsid w:val="00973D49"/>
    <w:rsid w:val="00976F6D"/>
    <w:rsid w:val="009B0FE7"/>
    <w:rsid w:val="009B1C9C"/>
    <w:rsid w:val="009B72E6"/>
    <w:rsid w:val="009E2105"/>
    <w:rsid w:val="009F0EA8"/>
    <w:rsid w:val="00A1005C"/>
    <w:rsid w:val="00A51A0F"/>
    <w:rsid w:val="00A73A58"/>
    <w:rsid w:val="00AB1A34"/>
    <w:rsid w:val="00AE0BF8"/>
    <w:rsid w:val="00AE2722"/>
    <w:rsid w:val="00B845B5"/>
    <w:rsid w:val="00BB4299"/>
    <w:rsid w:val="00BB6934"/>
    <w:rsid w:val="00BC2098"/>
    <w:rsid w:val="00BC2958"/>
    <w:rsid w:val="00BC5E6F"/>
    <w:rsid w:val="00C03CDF"/>
    <w:rsid w:val="00C33055"/>
    <w:rsid w:val="00C40E99"/>
    <w:rsid w:val="00C8419F"/>
    <w:rsid w:val="00CA0D07"/>
    <w:rsid w:val="00CF588C"/>
    <w:rsid w:val="00D05FEB"/>
    <w:rsid w:val="00D43545"/>
    <w:rsid w:val="00DB2D2D"/>
    <w:rsid w:val="00E62392"/>
    <w:rsid w:val="00E95A13"/>
    <w:rsid w:val="00E96F0A"/>
    <w:rsid w:val="00F24DB2"/>
    <w:rsid w:val="00F6570F"/>
    <w:rsid w:val="00F6700D"/>
    <w:rsid w:val="00FA0712"/>
    <w:rsid w:val="00FC24B3"/>
    <w:rsid w:val="00FD33F6"/>
    <w:rsid w:val="01943392"/>
    <w:rsid w:val="02845094"/>
    <w:rsid w:val="045D25F6"/>
    <w:rsid w:val="063208DE"/>
    <w:rsid w:val="0B410C9A"/>
    <w:rsid w:val="0C666FE6"/>
    <w:rsid w:val="0C7012E7"/>
    <w:rsid w:val="125C6E10"/>
    <w:rsid w:val="14AB7432"/>
    <w:rsid w:val="18F179C4"/>
    <w:rsid w:val="1C1B06D4"/>
    <w:rsid w:val="1DD70259"/>
    <w:rsid w:val="20EF32B2"/>
    <w:rsid w:val="235513FB"/>
    <w:rsid w:val="24890A70"/>
    <w:rsid w:val="27D63670"/>
    <w:rsid w:val="2A7C1C44"/>
    <w:rsid w:val="2A887746"/>
    <w:rsid w:val="2B795F81"/>
    <w:rsid w:val="30722EF1"/>
    <w:rsid w:val="330056F4"/>
    <w:rsid w:val="36321FDA"/>
    <w:rsid w:val="378749D8"/>
    <w:rsid w:val="39D011F6"/>
    <w:rsid w:val="3B727609"/>
    <w:rsid w:val="3DE477EC"/>
    <w:rsid w:val="3EFC6F22"/>
    <w:rsid w:val="43255F4E"/>
    <w:rsid w:val="45A5053F"/>
    <w:rsid w:val="46BC2386"/>
    <w:rsid w:val="48972385"/>
    <w:rsid w:val="495A6762"/>
    <w:rsid w:val="4E046303"/>
    <w:rsid w:val="4E8F4DFB"/>
    <w:rsid w:val="4F47693D"/>
    <w:rsid w:val="50813A60"/>
    <w:rsid w:val="52442BB7"/>
    <w:rsid w:val="52921B9F"/>
    <w:rsid w:val="567649A8"/>
    <w:rsid w:val="56D03560"/>
    <w:rsid w:val="58630F30"/>
    <w:rsid w:val="5D695983"/>
    <w:rsid w:val="623A7C69"/>
    <w:rsid w:val="62E62209"/>
    <w:rsid w:val="62F20FAF"/>
    <w:rsid w:val="63A23358"/>
    <w:rsid w:val="664E33E9"/>
    <w:rsid w:val="67F676AC"/>
    <w:rsid w:val="68DF603E"/>
    <w:rsid w:val="6E2B1ECD"/>
    <w:rsid w:val="6EB5535D"/>
    <w:rsid w:val="6EDA5469"/>
    <w:rsid w:val="6FDB386D"/>
    <w:rsid w:val="70BB4FAE"/>
    <w:rsid w:val="70FA624F"/>
    <w:rsid w:val="73AC25D3"/>
    <w:rsid w:val="750C673B"/>
    <w:rsid w:val="75AC2349"/>
    <w:rsid w:val="75BB4895"/>
    <w:rsid w:val="77680F3A"/>
    <w:rsid w:val="79E5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4">
    <w:name w:val="Body Text"/>
    <w:basedOn w:val="1"/>
    <w:next w:val="1"/>
    <w:qFormat/>
    <w:uiPriority w:val="1"/>
    <w:rPr>
      <w:rFonts w:ascii="黑体" w:hAnsi="黑体" w:eastAsia="黑体" w:cs="黑体"/>
      <w:sz w:val="18"/>
      <w:szCs w:val="18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6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Balloon Text Char"/>
    <w:basedOn w:val="12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12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Footer Char"/>
    <w:basedOn w:val="12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character" w:customStyle="1" w:styleId="19">
    <w:name w:val="font01"/>
    <w:basedOn w:val="12"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20">
    <w:name w:val="font31"/>
    <w:basedOn w:val="12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1">
    <w:name w:val="font21"/>
    <w:basedOn w:val="1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41"/>
    <w:basedOn w:val="12"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1223</Words>
  <Characters>1274</Characters>
  <Lines>0</Lines>
  <Paragraphs>0</Paragraphs>
  <TotalTime>3</TotalTime>
  <ScaleCrop>false</ScaleCrop>
  <LinksUpToDate>false</LinksUpToDate>
  <CharactersWithSpaces>1415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2020-07-13T09:44:00Z</dcterms:created>
  <dc:creator>xb21cn</dc:creator>
  <cp:lastModifiedBy>J I A</cp:lastModifiedBy>
  <cp:lastPrinted>2021-05-01T07:02:00Z</cp:lastPrinted>
  <dcterms:modified xsi:type="dcterms:W3CDTF">2022-03-24T09:03:52Z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958EE7FD4725466C891DAF4699B8B2ED</vt:lpwstr>
  </property>
</Properties>
</file>