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3"/>
        <w:tabs>
          <w:tab w:val="left" w:pos="0"/>
        </w:tabs>
        <w:spacing w:line="240" w:lineRule="auto"/>
        <w:ind w:left="0" w:leftChars="0" w:firstLine="0" w:firstLineChars="0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方正小标宋简体" w:eastAsia="方正小标宋简体"/>
          <w:sz w:val="44"/>
          <w:szCs w:val="44"/>
        </w:rPr>
        <w:t xml:space="preserve">  </w:t>
      </w:r>
      <w:r>
        <w:rPr>
          <w:rFonts w:hint="eastAsia" w:ascii="方正小标宋简体" w:eastAsia="方正小标宋简体"/>
          <w:b/>
          <w:sz w:val="44"/>
          <w:szCs w:val="44"/>
        </w:rPr>
        <w:t>项目说明</w:t>
      </w:r>
    </w:p>
    <w:p>
      <w:pPr>
        <w:spacing w:line="360" w:lineRule="auto"/>
        <w:rPr>
          <w:rFonts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一、项目概况及预算情况</w:t>
      </w:r>
    </w:p>
    <w:p>
      <w:pPr>
        <w:spacing w:line="500" w:lineRule="exact"/>
        <w:ind w:firstLine="755" w:firstLineChars="236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本项目为滨州医学院附属医院国家药物临床实验机构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所需</w:t>
      </w:r>
      <w:r>
        <w:rPr>
          <w:rFonts w:hint="eastAsia" w:ascii="仿宋_GB2312" w:eastAsia="仿宋_GB2312"/>
          <w:sz w:val="32"/>
          <w:szCs w:val="32"/>
        </w:rPr>
        <w:t>设备产品介绍，共分为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个包，总采购预算为7.935万元。</w:t>
      </w:r>
    </w:p>
    <w:p>
      <w:pPr>
        <w:spacing w:line="360" w:lineRule="auto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二、采购标的具体情况</w:t>
      </w:r>
    </w:p>
    <w:tbl>
      <w:tblPr>
        <w:tblStyle w:val="9"/>
        <w:tblW w:w="11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316"/>
        <w:gridCol w:w="3119"/>
        <w:gridCol w:w="1984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包号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设备名称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品牌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/规格/型号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参考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单台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价格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（元）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A01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会议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2.4*1.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6*0.75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m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办公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1.4米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U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型</w:t>
            </w:r>
            <w:r>
              <w:rPr>
                <w:rFonts w:ascii="仿宋" w:hAnsi="仿宋" w:eastAsia="仿宋"/>
                <w:sz w:val="28"/>
                <w:szCs w:val="28"/>
              </w:rPr>
              <w:t>桌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4.2*0.6*0.75（m）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A02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常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温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储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藏柜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1.85*1.8*4.6（mm）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药品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回收柜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85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0*900*360（mm）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A03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药品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阴凉箱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海尔/HYC-950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L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（usb）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restart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仿宋" w:hAnsi="仿宋" w:eastAsia="仿宋" w:cs="宋体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>A04</w:t>
            </w: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空调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挂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机）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格力/KFR-35W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空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调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格力KFR-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72L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W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空调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常年制冷</w:t>
            </w:r>
          </w:p>
        </w:tc>
        <w:tc>
          <w:tcPr>
            <w:tcW w:w="311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格力KFRD72LW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2316" w:type="dxa"/>
            <w:vMerge w:val="continue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316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打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印复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印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一体机</w:t>
            </w:r>
          </w:p>
        </w:tc>
        <w:tc>
          <w:tcPr>
            <w:tcW w:w="3119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HP128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>fn</w:t>
            </w:r>
          </w:p>
        </w:tc>
        <w:tc>
          <w:tcPr>
            <w:tcW w:w="1984" w:type="dxa"/>
            <w:shd w:val="clear" w:color="auto" w:fill="auto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1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办公桌（1.2×0.6×0.75（m））：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框架用多层实木板制作，桌面厚度2.5cm，甲醛含量≤1.0mg/L，密度≥760kg/m3，静曲张度≥51.2Mpa，吸水膨胀率≤8.1%，粘合剂采用优质环保乳胶，功能特点：厚度2.5cm，具有防水、防烫、防污、防酸、防碱，抽屉用松木实木，中间开槽，用木制滑道，优质五金件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会议桌（2.4×1.6×0.75（m））</w:t>
      </w:r>
      <w:r>
        <w:rPr>
          <w:rFonts w:ascii="仿宋_GB2312" w:hAnsi="黑体" w:eastAsia="仿宋_GB2312" w:cs="宋体"/>
          <w:b/>
          <w:bCs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铁质桌架，采用优质国际钢材，精模具冲压、接焊、精磨，表面再经防锈静电喷涂处理，表面光面平整，无颗粒起泡，渣点颜色均匀，实用牢固，承受力大，坚固螺丝，采用静电喷涂圆柱头内六角螺杆，坚固耐用，不易生锈，木制桌面，厚度2.5cm，面贴弯曲防火板，防水、防烫、防污、防酸、防碱，下设木挡板，优质五金件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U型桌（4.2×0.6×0.75（m））</w:t>
      </w:r>
      <w:r>
        <w:rPr>
          <w:rFonts w:ascii="仿宋_GB2312" w:hAnsi="黑体" w:eastAsia="仿宋_GB2312" w:cs="宋体"/>
          <w:b/>
          <w:bCs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框架用多层实木板制作，桌面厚度2.5cm，甲醛含量≤1.0mg/L，密度≥760kg/m3，静曲张度≥51.2Mpa，吸水膨胀率≤8.1%，粘合剂采用优质环保乳胶，功能特点：厚度2.5cm，具有防水、防烫、防污、防酸、防碱，抽屉用松木实木，中间开槽，用木制滑道，优质五金件。</w:t>
      </w:r>
    </w:p>
    <w:p>
      <w:pPr>
        <w:autoSpaceDE w:val="0"/>
        <w:autoSpaceDN w:val="0"/>
        <w:adjustRightInd w:val="0"/>
        <w:jc w:val="center"/>
        <w:rPr>
          <w:rFonts w:hint="eastAsia" w:ascii="黑体" w:hAnsi="黑体" w:eastAsia="黑体" w:cs="宋体"/>
          <w:b/>
          <w:bCs/>
          <w:kern w:val="0"/>
          <w:sz w:val="36"/>
          <w:szCs w:val="36"/>
        </w:rPr>
      </w:pP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空调1.7P挂机：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空调类型:壁挂式空调;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冷暖类型:冷暖电辅;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变频/定频:变频；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空调匹数:大1.5P；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适用面积:16-20㎡；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能效比:4.21；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能效等级:三级能效；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控制方式:遥控；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制冷剂:R32；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制冷量:3500W；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制冷功率:980（85-1400）W；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制热量:4600W；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制热功率:1390（85-1960）W；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电辅加热功率:900W；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循环风量:690m3/h；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室内机噪音:35-41dB；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室外机噪音:≤51dB；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扫风方式:上下扫风；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是否静音:是；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清洁功能:自动清洁；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除霜功能:智能除霜；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电辅加热:支持；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电源性能:220V/50Hz；</w:t>
      </w: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其他性能:独立除湿，安装要求含7米铜管及排水。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空调3P柜机：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空调类型:立柜式;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冷暖类型:冷暖型;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空调匹数:3P;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适用面积:34-50㎡;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制冷功率(W):2300;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制冷量:7350;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制热功率(W):2480;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制热量:8050;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内机噪音(dB(A):高风挡42;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电辅加热功率:1900;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外机噪音(dB(A):56;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循环风量(m3/h):1210；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能效等级:三级能效;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控制方式:遥控;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制冷剂:R32;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扫风方式:上下/左右扫风;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清洁功能:自动清洁;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电源性能:220V/50Hz;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室内机尺寸:507×1770×320mm;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室外机尺寸:980×790×427mm;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室内机质量:39kg;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室外机质量:62kg,安装要求含12米铜管及排水。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空调3P常年制冷空调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：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空调类型:立柜式;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冷暖类型:冷暖型;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空调匹数:3P;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适用面积:34-50㎡;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制冷功率(W):2300;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制冷量:7350;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制热功率(W):2480;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制热量:8050;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内机噪音(dB(A):高风挡42;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电辅加热功率:1900;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外机噪音(dB(A):56;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循环风量(m3/h):1210；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能效等级:三级能效;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控制方式:遥控;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制冷剂:R32;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扫风方式:上下/左右扫风;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清洁功能:自动清洁;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电源性能:220V/50Hz;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室内机尺寸:507×1770×320mm;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室外机尺寸:980×790×427mm;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室内机质量:39kg;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室外机质量:62kg,需配置单独模块实现全年制冷功能，含13米铜管及排水。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等线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等线" w:cs="宋体"/>
          <w:b/>
          <w:bCs/>
          <w:kern w:val="0"/>
          <w:sz w:val="28"/>
          <w:szCs w:val="28"/>
        </w:rPr>
        <w:t>打印复印一体机：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产品类型：黑白激光多功能一体机；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涵盖功能：打印/复印/扫描/传真；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最大处理幅面：A4；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耗材类型：鼓粉一体；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5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耗材型号：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HP LaserJet黑色原装硒鼓CC388A；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双面功能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：手动；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7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网络功能：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支持有线网络打印；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8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黑白打印速度：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20ppm；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9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打印分辨率：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600×600dpi；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0.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首页打印时间：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9.5秒；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1.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打印语言：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PCLm，PCLmS；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2.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月打印负荷：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达到8000页；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3.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复印速度：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20cpm；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4.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复印分辨率：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黑白：300×300dpi，彩色：400×600dpi；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5.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连续复印：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1-99页；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6.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缩放范围：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25-400%；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7.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扫描控制器：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标准配置；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8.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扫描类型：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平板+馈纸式；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9.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扫描速度：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黑白：7ppm，彩色：5ppm；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0.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光学分辨率：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1200×1200dpi；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1.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扫描尺寸：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平板：216×297mm（最大）；ADF：216×356mm（最大），152×114mm（最小）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2.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扫描格式：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JPG，PDF，TIF，PNG，BMP；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3.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扫描其它性能：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通过HP软件扫描到电子邮件；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4.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传真控制器：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标准配置；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5.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调制解调器速度：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33.6kbps；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6.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传真分辨率：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300×300dpi；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7.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传真内存：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最多500页；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8.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速拨号：高达100个号码，自动重拨；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等线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9.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广播位置：100个；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0.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介质类型：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纸张（普通纸，LaserJet），信封，透明胶片，标签，明信片；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1.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介质尺寸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：A4，A5，B5-日语，信封(ISO DL，C5，B5，Com#10，Monarch#7 3/4)，16K，明信片(标准#10，JIS单面和双面)；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2.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介质重量：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60-163g/㎡；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3.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供纸盒容量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：标配：150页；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4.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输出容量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：标配：100页（面朝下），最大：100页；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5.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自动供纸器：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支持，可进纸35页；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6.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显示屏：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双行LCD液晶显示屏；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7.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处理器：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600MHz；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8.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内存：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128MB；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9.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接口类型：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USB2.0，10Base-T/100Base-TX（RJ-45网络接口）；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0.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电源电压：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AC 110-127V（±10%），60Hz（±2Hz），AC 220-240V（±10%），50/60Hz（±2Hz）；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1.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耗电量：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打印：480W，复印：186W，就绪：4.5W，睡眠/自动关闭：1.1W，手动关闭：0.2W；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2.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产品尺寸：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420×365×309mm；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3.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产品重量：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ab/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9.1kg；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</w:t>
      </w:r>
      <w:r>
        <w:rPr>
          <w:rFonts w:ascii="仿宋_GB2312" w:hAnsi="黑体" w:eastAsia="仿宋_GB2312" w:cs="宋体"/>
          <w:bCs/>
          <w:kern w:val="0"/>
          <w:sz w:val="28"/>
          <w:szCs w:val="28"/>
        </w:rPr>
        <w:t>4.</w:t>
      </w: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工作温度：15-32.5℃，工作湿度：30-70%RH。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常温药品储藏柜（</w:t>
      </w:r>
      <w:r>
        <w:rPr>
          <w:rFonts w:ascii="仿宋_GB2312" w:hAnsi="黑体" w:eastAsia="仿宋_GB2312" w:cs="宋体"/>
          <w:b/>
          <w:bCs/>
          <w:kern w:val="0"/>
          <w:sz w:val="28"/>
          <w:szCs w:val="28"/>
        </w:rPr>
        <w:t>1800*460*1850mm</w:t>
      </w: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1.采用邯钢集团优质冷轧钢板，板材厚度0.8mm；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2.门数26门，小门数量12个，尺寸120*400mm，中门数量10个，尺寸269*408mm，大门数量4个，尺寸564*400mm；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3.经磨具化钣金流水线精工而成，耐压、强度大、抗冲击不易变形；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4.表面经除油-清洗-除锈-磷化-清洗-静电喷涂-热固化处理，使产品在不同环境中喷涂层不易脱落、不生锈、图层牢固；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5.喷涂采用绿色环保型粉末，对人体及周围环境不产生危害,无毒、无副作用、无异味；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6.ABS塑料内嵌拉手。门板安装门轴，插销两端安转塑料消音圈，防止摩擦，具有降噪功能；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7.宁波“望通”折叠锁具，红绿开启状态显示，钢制编码方便管理；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8.连接件均做镀锌处理，支撑加固附件耐磨耐压，硬度满足承重要求。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阴凉柜（</w:t>
      </w:r>
      <w:r>
        <w:rPr>
          <w:rFonts w:ascii="仿宋_GB2312" w:hAnsi="黑体" w:eastAsia="仿宋_GB2312" w:cs="宋体"/>
          <w:b/>
          <w:bCs/>
          <w:kern w:val="0"/>
          <w:sz w:val="28"/>
          <w:szCs w:val="28"/>
        </w:rPr>
        <w:t>H1850*W900*D360mm</w:t>
      </w: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1.采用邯钢集团优质冷轧钢板，板材厚度0.8mm； 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2.门数18门；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3.经磨具化钣金流水线精工而成，耐压、强度大、抗冲击不易变形；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4.表面经除油-清洗-除锈-磷化-清洗-静电喷涂-热固化处理，使产品在不同环境中喷涂层不易脱落、不生锈、图层牢固；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5.喷涂采用绿色环保型粉末，对人体及周围环境不产生危害,无毒、无副作用、无异味；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6.ABS塑料内嵌拉手。门板安装门轴，插销两端安转塑料消音圈，防止摩擦，具有降噪功能；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7.宁波“望通”折叠锁具，红绿开启状态显示，钢制编码方便管理；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8.连接件均做镀锌处理，支撑加固附件耐磨耐压，硬度满足承重要求。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药品回收柜（</w:t>
      </w:r>
      <w:r>
        <w:rPr>
          <w:rFonts w:ascii="仿宋_GB2312" w:hAnsi="黑体" w:eastAsia="仿宋_GB2312" w:cs="宋体"/>
          <w:b/>
          <w:bCs/>
          <w:kern w:val="0"/>
          <w:sz w:val="28"/>
          <w:szCs w:val="28"/>
        </w:rPr>
        <w:t>H1850*W900*D360mm</w:t>
      </w:r>
      <w:r>
        <w:rPr>
          <w:rFonts w:hint="eastAsia" w:ascii="仿宋_GB2312" w:hAnsi="黑体" w:eastAsia="仿宋_GB2312" w:cs="宋体"/>
          <w:b/>
          <w:bCs/>
          <w:kern w:val="0"/>
          <w:sz w:val="28"/>
          <w:szCs w:val="28"/>
        </w:rPr>
        <w:t>）</w:t>
      </w:r>
    </w:p>
    <w:p>
      <w:pPr>
        <w:autoSpaceDE w:val="0"/>
        <w:autoSpaceDN w:val="0"/>
        <w:adjustRightInd w:val="0"/>
        <w:spacing w:line="360" w:lineRule="auto"/>
        <w:rPr>
          <w:rFonts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 xml:space="preserve">1.采用邯钢集团优质冷轧钢板，板材厚度0.8mm；                            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2、门数18门；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3.经磨具化钣金流水线精工而成，耐压、强度大、抗冲击不易变形；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4.表面经除油-清洗-除锈-磷化-清洗-静电喷涂-热固化处理，使产品在不同环境中喷涂层不易脱落、不生锈、图层牢固；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5.喷涂采用绿色环保型粉末，对人体及周围环境不产生危害,无毒、无副作用、无异味；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6.ABS塑料内嵌拉手。门板安装门轴，插销两端安转塑料消音圈，防止摩擦，具有降噪功能；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仿宋_GB2312" w:cs="宋体"/>
          <w:bCs/>
          <w:kern w:val="0"/>
          <w:sz w:val="28"/>
          <w:szCs w:val="28"/>
        </w:r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7.宁波“望通”折叠锁具，红绿开启状态显示，钢制编码方便管理；</w:t>
      </w:r>
    </w:p>
    <w:p>
      <w:pPr>
        <w:autoSpaceDE w:val="0"/>
        <w:autoSpaceDN w:val="0"/>
        <w:adjustRightInd w:val="0"/>
        <w:spacing w:line="360" w:lineRule="auto"/>
        <w:rPr>
          <w:rFonts w:hint="eastAsia" w:ascii="仿宋_GB2312" w:hAnsi="黑体" w:eastAsia="等线" w:cs="宋体"/>
          <w:bCs/>
          <w:kern w:val="0"/>
          <w:sz w:val="28"/>
          <w:szCs w:val="28"/>
        </w:rPr>
        <w:sectPr>
          <w:pgSz w:w="16838" w:h="11906" w:orient="landscape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黑体" w:eastAsia="仿宋_GB2312" w:cs="宋体"/>
          <w:bCs/>
          <w:kern w:val="0"/>
          <w:sz w:val="28"/>
          <w:szCs w:val="28"/>
        </w:rPr>
        <w:t>8.连接件均做镀锌处理，支撑加固附件耐磨耐压，硬度满足承重要求。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 xml:space="preserve">          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报价表</w:t>
      </w:r>
    </w:p>
    <w:tbl>
      <w:tblPr>
        <w:tblStyle w:val="9"/>
        <w:tblW w:w="106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668"/>
        <w:gridCol w:w="1532"/>
        <w:gridCol w:w="1586"/>
        <w:gridCol w:w="1134"/>
        <w:gridCol w:w="1646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包号</w:t>
            </w: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设备名称</w:t>
            </w: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数量</w:t>
            </w: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品牌、型号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质保期</w:t>
            </w: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投标报价单价</w:t>
            </w: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</w:tcPr>
          <w:p>
            <w:pPr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ind w:firstLine="150" w:firstLineChars="50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30"/>
                <w:szCs w:val="30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104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360" w:lineRule="auto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0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供货承诺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接采购人通知后</w:t>
            </w:r>
            <w:r>
              <w:rPr>
                <w:rFonts w:hint="eastAsia" w:ascii="仿宋_GB2312" w:hAnsi="宋体" w:eastAsia="仿宋_GB2312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30"/>
                <w:szCs w:val="30"/>
              </w:rPr>
              <w:t>日历日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项目负责人及联系方式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71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备注</w:t>
            </w:r>
          </w:p>
        </w:tc>
        <w:tc>
          <w:tcPr>
            <w:tcW w:w="7901" w:type="dxa"/>
            <w:gridSpan w:val="5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360" w:lineRule="auto"/>
        <w:ind w:left="-141" w:leftChars="-6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说明：1、供应商严格按照规定的格式填写。投标报价为优惠后报价，并作为评审及定标的依据。</w:t>
      </w:r>
    </w:p>
    <w:p>
      <w:pPr>
        <w:spacing w:line="360" w:lineRule="auto"/>
        <w:ind w:left="-141" w:leftChars="-67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2、任何有选择或有条件的投标报价或表中某一包填写多个报价，均将导致投标被拒绝。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供应商公章：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供应商法定代表人或法人授权代表签字或盖章：</w:t>
      </w:r>
    </w:p>
    <w:p>
      <w:pPr>
        <w:spacing w:line="360" w:lineRule="auto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日   期：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>
      <w:pPr>
        <w:pStyle w:val="5"/>
        <w:widowControl/>
        <w:spacing w:line="360" w:lineRule="auto"/>
        <w:ind w:left="0" w:leftChars="0" w:firstLine="640" w:firstLineChars="200"/>
        <w:outlineLvl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pStyle w:val="3"/>
        <w:tabs>
          <w:tab w:val="left" w:pos="7560"/>
        </w:tabs>
        <w:spacing w:line="360" w:lineRule="auto"/>
        <w:ind w:left="0" w:leftChars="0" w:firstLine="2" w:firstLineChars="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供应商廉洁投标承诺书</w:t>
      </w:r>
    </w:p>
    <w:p>
      <w:pPr>
        <w:pStyle w:val="3"/>
        <w:tabs>
          <w:tab w:val="left" w:pos="7560"/>
        </w:tabs>
        <w:spacing w:line="360" w:lineRule="auto"/>
        <w:ind w:left="0" w:leftChars="0" w:firstLine="2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滨州医学院附属医院：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为了积极配合贵单位进行的________________招标工作，有效遏制不公平竞争和违规违纪问题的发生，确保招标工作的公平、公正、公开，我们保证认真贯彻《中华人民共和国政府采购法》等相关规定以及有关廉洁要求，特向贵单位承诺如下事项：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1.自觉遵守国家法律法规及有关廉政建设制度。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2.主动了解滨州医学院附属医院招投标纪律，积极配合执行招投标廉政建设的有关规定。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3.按照磋商文件规定的方式进行投标，不隐瞒本单位投标资质的真实情况，投标资质符合规定。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4.投标过程中不弄虚作假，不使用不正当手段妨碍、排挤其它投标单位或串通投标；不以不正当利益方式谋求中标，中标后不订立背离合同实质性内容的协议，或进行非法转包、违法分包等。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5.不向涉及招标的部门、科室及个人购置或提供通讯工具、交通工具和高档办公用品等。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6.不向涉及招标的部门、科室及个人支付好处费、介绍费。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.不以任何方式向招标人员赠送礼品、礼金及有价证券；不宴请或邀请招标方的任何人参加高档娱乐消费、旅游、考察、参观等活动；不以任何形式报销招标方的任何人以及亲友的各种票据及费用；不进行可能影响招投标公平、公正的任何活动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8.不向招标人员的配偶、子女分包此次招标项目。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9.一旦发现相关人员在招标过程中有索要财物等不廉洁行为，坚决予以抵制，并及时向滨州医学院附属医院纪委举报（举报电话：0543-3256507）。 </w:t>
      </w:r>
    </w:p>
    <w:p>
      <w:pPr>
        <w:pStyle w:val="3"/>
        <w:tabs>
          <w:tab w:val="left" w:pos="7560"/>
        </w:tabs>
        <w:spacing w:line="360" w:lineRule="auto"/>
        <w:ind w:left="0" w:leftChars="0" w:firstLine="646" w:firstLineChars="2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10.我们若违反上述承诺，愿接受取消投标资格及其他任何形式的处理。</w:t>
      </w:r>
    </w:p>
    <w:p>
      <w:pPr>
        <w:pStyle w:val="3"/>
        <w:tabs>
          <w:tab w:val="left" w:pos="7560"/>
        </w:tabs>
        <w:spacing w:line="720" w:lineRule="exact"/>
        <w:ind w:left="0" w:leftChars="0" w:firstLine="2" w:firstLineChars="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   供应商：（公章）</w:t>
      </w:r>
    </w:p>
    <w:p>
      <w:pPr>
        <w:pStyle w:val="3"/>
        <w:tabs>
          <w:tab w:val="left" w:pos="7560"/>
        </w:tabs>
        <w:spacing w:line="720" w:lineRule="exact"/>
        <w:ind w:left="0" w:leftChars="0" w:firstLine="2" w:firstLineChars="0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法定代表人或授权代理人：（签字或盖章）</w:t>
      </w:r>
    </w:p>
    <w:p>
      <w:pPr>
        <w:spacing w:line="720" w:lineRule="exact"/>
        <w:ind w:firstLine="640" w:firstLineChars="2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                年  月  日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报名表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0"/>
        <w:gridCol w:w="2295"/>
        <w:gridCol w:w="1801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>包号</w:t>
            </w: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项目名称</w:t>
            </w: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公司名称</w:t>
            </w: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联系人及方式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2210" w:type="dxa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9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1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报名时间：</w:t>
      </w:r>
    </w:p>
    <w:p>
      <w:pPr>
        <w:spacing w:line="220" w:lineRule="atLeas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公司盖章：</w:t>
      </w: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D05E1F"/>
    <w:multiLevelType w:val="multilevel"/>
    <w:tmpl w:val="07D05E1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D711A93"/>
    <w:multiLevelType w:val="multilevel"/>
    <w:tmpl w:val="4D711A9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505E36"/>
    <w:multiLevelType w:val="multilevel"/>
    <w:tmpl w:val="5B505E3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AF"/>
    <w:rsid w:val="0010656A"/>
    <w:rsid w:val="001C01C5"/>
    <w:rsid w:val="001D4F5D"/>
    <w:rsid w:val="001E3233"/>
    <w:rsid w:val="00370A1F"/>
    <w:rsid w:val="003B27EB"/>
    <w:rsid w:val="00696D5A"/>
    <w:rsid w:val="007E73EF"/>
    <w:rsid w:val="008440BC"/>
    <w:rsid w:val="0085643B"/>
    <w:rsid w:val="008C346D"/>
    <w:rsid w:val="00957763"/>
    <w:rsid w:val="00B34AF1"/>
    <w:rsid w:val="00BC0489"/>
    <w:rsid w:val="00BE5265"/>
    <w:rsid w:val="00D2295F"/>
    <w:rsid w:val="00DA0EAF"/>
    <w:rsid w:val="00EE1863"/>
    <w:rsid w:val="00F24DFE"/>
    <w:rsid w:val="00FD1F74"/>
    <w:rsid w:val="15847710"/>
    <w:rsid w:val="46F92506"/>
    <w:rsid w:val="49E550B3"/>
    <w:rsid w:val="4FB742A9"/>
    <w:rsid w:val="59F9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pPr>
      <w:spacing w:after="120"/>
    </w:pPr>
    <w:rPr>
      <w:rFonts w:eastAsia="宋体"/>
      <w:szCs w:val="24"/>
    </w:rPr>
  </w:style>
  <w:style w:type="paragraph" w:styleId="3">
    <w:name w:val="Body Text Indent"/>
    <w:basedOn w:val="1"/>
    <w:link w:val="14"/>
    <w:qFormat/>
    <w:uiPriority w:val="0"/>
    <w:pPr>
      <w:spacing w:line="500" w:lineRule="exact"/>
      <w:ind w:left="1588" w:leftChars="832" w:firstLine="433" w:firstLineChars="196"/>
    </w:pPr>
    <w:rPr>
      <w:rFonts w:eastAsia="宋体"/>
      <w:sz w:val="24"/>
      <w:szCs w:val="24"/>
    </w:rPr>
  </w:style>
  <w:style w:type="paragraph" w:styleId="4">
    <w:name w:val="Plain Text"/>
    <w:basedOn w:val="1"/>
    <w:link w:val="19"/>
    <w:qFormat/>
    <w:uiPriority w:val="0"/>
    <w:rPr>
      <w:rFonts w:ascii="宋体" w:hAnsi="Courier New" w:eastAsia="宋体"/>
      <w:szCs w:val="21"/>
    </w:rPr>
  </w:style>
  <w:style w:type="paragraph" w:styleId="5">
    <w:name w:val="Date"/>
    <w:basedOn w:val="1"/>
    <w:next w:val="1"/>
    <w:link w:val="21"/>
    <w:qFormat/>
    <w:uiPriority w:val="0"/>
    <w:pPr>
      <w:ind w:left="100" w:leftChars="2500"/>
    </w:pPr>
    <w:rPr>
      <w:szCs w:val="24"/>
    </w:rPr>
  </w:style>
  <w:style w:type="paragraph" w:styleId="6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正文文本缩进 字符"/>
    <w:basedOn w:val="11"/>
    <w:link w:val="3"/>
    <w:qFormat/>
    <w:uiPriority w:val="0"/>
    <w:rPr>
      <w:rFonts w:eastAsia="宋体"/>
      <w:sz w:val="24"/>
      <w:szCs w:val="24"/>
    </w:rPr>
  </w:style>
  <w:style w:type="character" w:customStyle="1" w:styleId="15">
    <w:name w:val="正文文本缩进 字符1"/>
    <w:basedOn w:val="11"/>
    <w:semiHidden/>
    <w:qFormat/>
    <w:uiPriority w:val="99"/>
  </w:style>
  <w:style w:type="character" w:customStyle="1" w:styleId="16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7">
    <w:name w:val="页脚 字符"/>
    <w:basedOn w:val="11"/>
    <w:link w:val="6"/>
    <w:qFormat/>
    <w:uiPriority w:val="99"/>
    <w:rPr>
      <w:sz w:val="18"/>
      <w:szCs w:val="18"/>
    </w:rPr>
  </w:style>
  <w:style w:type="paragraph" w:customStyle="1" w:styleId="18">
    <w:name w:val="Zchn Zchn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character" w:customStyle="1" w:styleId="19">
    <w:name w:val="纯文本 字符"/>
    <w:link w:val="4"/>
    <w:qFormat/>
    <w:uiPriority w:val="0"/>
    <w:rPr>
      <w:rFonts w:ascii="宋体" w:hAnsi="Courier New" w:eastAsia="宋体"/>
      <w:szCs w:val="21"/>
    </w:rPr>
  </w:style>
  <w:style w:type="character" w:customStyle="1" w:styleId="20">
    <w:name w:val="正文文本 字符"/>
    <w:link w:val="2"/>
    <w:qFormat/>
    <w:uiPriority w:val="0"/>
    <w:rPr>
      <w:rFonts w:eastAsia="宋体"/>
      <w:szCs w:val="24"/>
    </w:rPr>
  </w:style>
  <w:style w:type="character" w:customStyle="1" w:styleId="21">
    <w:name w:val="日期 字符"/>
    <w:basedOn w:val="11"/>
    <w:link w:val="5"/>
    <w:qFormat/>
    <w:uiPriority w:val="0"/>
    <w:rPr>
      <w:szCs w:val="24"/>
    </w:rPr>
  </w:style>
  <w:style w:type="character" w:customStyle="1" w:styleId="22">
    <w:name w:val="正文文本 字符1"/>
    <w:basedOn w:val="11"/>
    <w:semiHidden/>
    <w:qFormat/>
    <w:uiPriority w:val="99"/>
  </w:style>
  <w:style w:type="character" w:customStyle="1" w:styleId="23">
    <w:name w:val="纯文本 字符1"/>
    <w:basedOn w:val="11"/>
    <w:semiHidden/>
    <w:qFormat/>
    <w:uiPriority w:val="99"/>
    <w:rPr>
      <w:rFonts w:hAnsi="Courier New" w:cs="Courier New" w:asciiTheme="minorEastAsia"/>
    </w:rPr>
  </w:style>
  <w:style w:type="character" w:customStyle="1" w:styleId="24">
    <w:name w:val="日期 字符1"/>
    <w:basedOn w:val="11"/>
    <w:semiHidden/>
    <w:qFormat/>
    <w:uiPriority w:val="99"/>
  </w:style>
  <w:style w:type="paragraph" w:customStyle="1" w:styleId="25">
    <w:name w:val="Zchn Zchn1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26">
    <w:name w:val="Zchn Zchn2"/>
    <w:basedOn w:val="1"/>
    <w:qFormat/>
    <w:uiPriority w:val="0"/>
    <w:rPr>
      <w:rFonts w:ascii="Tahoma" w:hAnsi="Tahoma" w:eastAsia="宋体" w:cs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6</Pages>
  <Words>298</Words>
  <Characters>1704</Characters>
  <Lines>14</Lines>
  <Paragraphs>3</Paragraphs>
  <TotalTime>1</TotalTime>
  <ScaleCrop>false</ScaleCrop>
  <LinksUpToDate>false</LinksUpToDate>
  <CharactersWithSpaces>1999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2021-09-27T07:05:00Z</dcterms:created>
  <dc:creator>Windows 用户</dc:creator>
  <cp:lastModifiedBy>J I A</cp:lastModifiedBy>
  <dcterms:modified xsi:type="dcterms:W3CDTF">2021-12-01T00:48:15Z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293B57A145C9446EB8218CBE53C61831</vt:lpwstr>
  </property>
</Properties>
</file>